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B5CC9" w14:textId="5A7706A5" w:rsidR="00A52093" w:rsidRDefault="00A52093" w:rsidP="00A52093">
      <w:pPr>
        <w:spacing w:before="0" w:after="0" w:line="276" w:lineRule="auto"/>
        <w:ind w:left="993" w:hanging="993"/>
        <w:contextualSpacing/>
        <w:jc w:val="right"/>
        <w:rPr>
          <w:rFonts w:eastAsia="Times New Roman"/>
          <w:b/>
          <w:color w:val="3C3C3C"/>
          <w:szCs w:val="20"/>
        </w:rPr>
      </w:pPr>
      <w:r w:rsidRPr="00A52093">
        <w:rPr>
          <w:rFonts w:eastAsia="Times New Roman"/>
          <w:b/>
          <w:color w:val="3C3C3C"/>
          <w:szCs w:val="20"/>
        </w:rPr>
        <w:t xml:space="preserve">ATT. COMISION DE FIESTAS </w:t>
      </w:r>
      <w:r w:rsidRPr="00A52093">
        <w:rPr>
          <w:rFonts w:eastAsia="Times New Roman"/>
          <w:b/>
          <w:color w:val="3C3C3C"/>
          <w:szCs w:val="20"/>
          <w:highlight w:val="yellow"/>
        </w:rPr>
        <w:t>XXXXXXX</w:t>
      </w:r>
    </w:p>
    <w:p w14:paraId="2346CBE6" w14:textId="77777777" w:rsidR="00AA0852" w:rsidRPr="00A52093" w:rsidRDefault="00AA0852" w:rsidP="00A52093">
      <w:pPr>
        <w:spacing w:before="0" w:after="0" w:line="276" w:lineRule="auto"/>
        <w:ind w:left="993" w:hanging="993"/>
        <w:contextualSpacing/>
        <w:jc w:val="right"/>
        <w:rPr>
          <w:rFonts w:eastAsia="Times New Roman"/>
          <w:b/>
          <w:color w:val="3C3C3C"/>
          <w:szCs w:val="20"/>
        </w:rPr>
      </w:pPr>
    </w:p>
    <w:p w14:paraId="1F436D67" w14:textId="77777777" w:rsidR="00A52093" w:rsidRPr="00A52093" w:rsidRDefault="00A52093" w:rsidP="00A52093">
      <w:pPr>
        <w:spacing w:before="0" w:after="0" w:line="276" w:lineRule="auto"/>
        <w:contextualSpacing/>
        <w:jc w:val="both"/>
        <w:rPr>
          <w:rFonts w:eastAsia="Times New Roman"/>
          <w:bCs/>
          <w:color w:val="3C3C3C"/>
          <w:sz w:val="18"/>
          <w:szCs w:val="18"/>
        </w:rPr>
      </w:pPr>
    </w:p>
    <w:p w14:paraId="78C8CEEC" w14:textId="2D41C0C6" w:rsidR="00A52093" w:rsidRPr="007773CE" w:rsidRDefault="00A52093" w:rsidP="002E09E6">
      <w:pPr>
        <w:spacing w:before="0" w:line="240" w:lineRule="auto"/>
        <w:contextualSpacing/>
        <w:jc w:val="both"/>
        <w:rPr>
          <w:rFonts w:eastAsia="Times New Roman"/>
          <w:bCs/>
          <w:color w:val="3C3C3C"/>
          <w:sz w:val="18"/>
          <w:szCs w:val="18"/>
        </w:rPr>
      </w:pPr>
      <w:r w:rsidRPr="00A52093">
        <w:rPr>
          <w:rFonts w:eastAsia="Times New Roman"/>
          <w:bCs/>
          <w:color w:val="3C3C3C"/>
          <w:sz w:val="18"/>
          <w:szCs w:val="18"/>
        </w:rPr>
        <w:t>Muy Sr</w:t>
      </w:r>
      <w:r w:rsidR="002E09E6" w:rsidRPr="007773CE">
        <w:rPr>
          <w:rFonts w:eastAsia="Times New Roman"/>
          <w:bCs/>
          <w:color w:val="3C3C3C"/>
          <w:sz w:val="18"/>
          <w:szCs w:val="18"/>
        </w:rPr>
        <w:t>es</w:t>
      </w:r>
      <w:r w:rsidRPr="00A52093">
        <w:rPr>
          <w:rFonts w:eastAsia="Times New Roman"/>
          <w:bCs/>
          <w:color w:val="3C3C3C"/>
          <w:sz w:val="18"/>
          <w:szCs w:val="18"/>
        </w:rPr>
        <w:t>. nuestro</w:t>
      </w:r>
      <w:r w:rsidR="002E09E6" w:rsidRPr="007773CE">
        <w:rPr>
          <w:rFonts w:eastAsia="Times New Roman"/>
          <w:bCs/>
          <w:color w:val="3C3C3C"/>
          <w:sz w:val="18"/>
          <w:szCs w:val="18"/>
        </w:rPr>
        <w:t>s</w:t>
      </w:r>
      <w:r w:rsidRPr="00A52093">
        <w:rPr>
          <w:rFonts w:eastAsia="Times New Roman"/>
          <w:bCs/>
          <w:color w:val="3C3C3C"/>
          <w:sz w:val="18"/>
          <w:szCs w:val="18"/>
        </w:rPr>
        <w:t>:</w:t>
      </w:r>
    </w:p>
    <w:p w14:paraId="4E8D2B3E" w14:textId="77777777" w:rsidR="002E09E6" w:rsidRPr="00A52093" w:rsidRDefault="002E09E6" w:rsidP="002E09E6">
      <w:pPr>
        <w:spacing w:before="0" w:line="240" w:lineRule="auto"/>
        <w:contextualSpacing/>
        <w:jc w:val="both"/>
        <w:rPr>
          <w:rFonts w:eastAsia="Times New Roman"/>
          <w:bCs/>
          <w:color w:val="3C3C3C"/>
          <w:sz w:val="18"/>
          <w:szCs w:val="18"/>
        </w:rPr>
      </w:pPr>
    </w:p>
    <w:p w14:paraId="4AB73104" w14:textId="18C0D606" w:rsidR="00A52093" w:rsidRPr="007773CE" w:rsidRDefault="00A52093" w:rsidP="002E09E6">
      <w:pPr>
        <w:spacing w:after="0" w:line="240" w:lineRule="auto"/>
        <w:contextualSpacing/>
        <w:jc w:val="both"/>
        <w:rPr>
          <w:rFonts w:eastAsia="Times New Roman"/>
          <w:bCs/>
          <w:color w:val="3C3C3C"/>
          <w:sz w:val="18"/>
          <w:szCs w:val="18"/>
        </w:rPr>
      </w:pPr>
      <w:r w:rsidRPr="00A52093">
        <w:rPr>
          <w:rFonts w:eastAsia="Times New Roman"/>
          <w:bCs/>
          <w:color w:val="3C3C3C"/>
          <w:sz w:val="18"/>
          <w:szCs w:val="18"/>
        </w:rPr>
        <w:t xml:space="preserve">En cumplimiento </w:t>
      </w:r>
      <w:r w:rsidR="002E09E6" w:rsidRPr="007773CE">
        <w:rPr>
          <w:rFonts w:eastAsia="Times New Roman"/>
          <w:bCs/>
          <w:color w:val="3C3C3C"/>
          <w:sz w:val="18"/>
          <w:szCs w:val="18"/>
        </w:rPr>
        <w:t>de</w:t>
      </w:r>
      <w:r w:rsidRPr="00A52093">
        <w:rPr>
          <w:rFonts w:eastAsia="Times New Roman"/>
          <w:bCs/>
          <w:color w:val="3C3C3C"/>
          <w:sz w:val="18"/>
          <w:szCs w:val="18"/>
        </w:rPr>
        <w:t xml:space="preserve"> la reglamentación eléctrica vigente, </w:t>
      </w:r>
      <w:r w:rsidR="002E09E6" w:rsidRPr="007773CE">
        <w:rPr>
          <w:rFonts w:eastAsia="Times New Roman"/>
          <w:bCs/>
          <w:color w:val="3C3C3C"/>
          <w:sz w:val="18"/>
          <w:szCs w:val="18"/>
        </w:rPr>
        <w:t xml:space="preserve">de </w:t>
      </w:r>
      <w:r w:rsidRPr="00A52093">
        <w:rPr>
          <w:rFonts w:eastAsia="Times New Roman"/>
          <w:bCs/>
          <w:color w:val="3C3C3C"/>
          <w:sz w:val="18"/>
          <w:szCs w:val="18"/>
        </w:rPr>
        <w:t xml:space="preserve">la Ley 10/2017 de espectáculos públicos y actividades recreativas de Galicia y </w:t>
      </w:r>
      <w:r w:rsidR="002E09E6" w:rsidRPr="007773CE">
        <w:rPr>
          <w:rFonts w:eastAsia="Times New Roman"/>
          <w:bCs/>
          <w:color w:val="3C3C3C"/>
          <w:sz w:val="18"/>
          <w:szCs w:val="18"/>
        </w:rPr>
        <w:t>d</w:t>
      </w:r>
      <w:r w:rsidRPr="00A52093">
        <w:rPr>
          <w:rFonts w:eastAsia="Times New Roman"/>
          <w:bCs/>
          <w:color w:val="3C3C3C"/>
          <w:sz w:val="18"/>
          <w:szCs w:val="18"/>
        </w:rPr>
        <w:t xml:space="preserve">el Reglamento Electrotécnico de Baja </w:t>
      </w:r>
      <w:r w:rsidR="002E09E6" w:rsidRPr="007773CE">
        <w:rPr>
          <w:rFonts w:eastAsia="Times New Roman"/>
          <w:bCs/>
          <w:color w:val="3C3C3C"/>
          <w:sz w:val="18"/>
          <w:szCs w:val="18"/>
        </w:rPr>
        <w:t>T</w:t>
      </w:r>
      <w:r w:rsidRPr="00A52093">
        <w:rPr>
          <w:rFonts w:eastAsia="Times New Roman"/>
          <w:bCs/>
          <w:color w:val="3C3C3C"/>
          <w:sz w:val="18"/>
          <w:szCs w:val="18"/>
        </w:rPr>
        <w:t xml:space="preserve">ensión, nos ponemos en contacto con usted para informarle del </w:t>
      </w:r>
      <w:r w:rsidRPr="00A52093">
        <w:rPr>
          <w:rFonts w:eastAsia="Times New Roman"/>
          <w:b/>
          <w:color w:val="3C3C3C"/>
          <w:sz w:val="18"/>
          <w:szCs w:val="18"/>
        </w:rPr>
        <w:t>NUEVO PROCEDIMIENTO DE TRAMITACIÓN</w:t>
      </w:r>
      <w:r w:rsidRPr="00A52093">
        <w:rPr>
          <w:rFonts w:eastAsia="Times New Roman"/>
          <w:bCs/>
          <w:color w:val="3C3C3C"/>
          <w:sz w:val="18"/>
          <w:szCs w:val="18"/>
        </w:rPr>
        <w:t xml:space="preserve"> en Hidroeléctrica de Laracha para las altas de suministros eventuales de corta duración</w:t>
      </w:r>
      <w:r w:rsidR="002E09E6" w:rsidRPr="007773CE">
        <w:rPr>
          <w:rFonts w:eastAsia="Times New Roman"/>
          <w:bCs/>
          <w:color w:val="3C3C3C"/>
          <w:sz w:val="18"/>
          <w:szCs w:val="18"/>
        </w:rPr>
        <w:t xml:space="preserve">, en vigor desde </w:t>
      </w:r>
      <w:r w:rsidRPr="00A52093">
        <w:rPr>
          <w:rFonts w:eastAsia="Times New Roman"/>
          <w:bCs/>
          <w:color w:val="3C3C3C"/>
          <w:sz w:val="18"/>
          <w:szCs w:val="18"/>
        </w:rPr>
        <w:t>enero de 2023:</w:t>
      </w:r>
    </w:p>
    <w:p w14:paraId="38DF5841" w14:textId="77777777" w:rsidR="002E09E6" w:rsidRPr="00A52093" w:rsidRDefault="002E09E6" w:rsidP="002E09E6">
      <w:pPr>
        <w:spacing w:after="0" w:line="240" w:lineRule="auto"/>
        <w:contextualSpacing/>
        <w:jc w:val="both"/>
        <w:rPr>
          <w:rFonts w:eastAsia="Times New Roman"/>
          <w:bCs/>
          <w:color w:val="3C3C3C"/>
          <w:sz w:val="18"/>
          <w:szCs w:val="18"/>
        </w:rPr>
      </w:pPr>
    </w:p>
    <w:p w14:paraId="70E034E6" w14:textId="544F8BCB" w:rsidR="00A52093" w:rsidRPr="00A52093" w:rsidRDefault="002E09E6" w:rsidP="002E09E6">
      <w:pPr>
        <w:numPr>
          <w:ilvl w:val="0"/>
          <w:numId w:val="2"/>
        </w:numPr>
        <w:spacing w:before="0" w:after="0" w:line="240" w:lineRule="auto"/>
        <w:contextualSpacing/>
        <w:jc w:val="both"/>
        <w:rPr>
          <w:rFonts w:eastAsia="Times New Roman"/>
          <w:bCs/>
          <w:color w:val="3C3C3C"/>
          <w:sz w:val="18"/>
          <w:szCs w:val="18"/>
        </w:rPr>
      </w:pPr>
      <w:r w:rsidRPr="007773CE">
        <w:rPr>
          <w:rFonts w:eastAsia="Times New Roman"/>
          <w:bCs/>
          <w:color w:val="3C3C3C"/>
          <w:sz w:val="18"/>
          <w:szCs w:val="18"/>
        </w:rPr>
        <w:t>La solicitud de suministro</w:t>
      </w:r>
      <w:r w:rsidR="00A52093" w:rsidRPr="00A52093">
        <w:rPr>
          <w:rFonts w:eastAsia="Times New Roman"/>
          <w:bCs/>
          <w:color w:val="3C3C3C"/>
          <w:sz w:val="18"/>
          <w:szCs w:val="18"/>
        </w:rPr>
        <w:t xml:space="preserve"> deberá ser formulada ÚNICAMENTE por el titular/organizador del evento, siendo éste el responsable de satisfacer las necesidades energéticas tanto del propio evento, como de las instalaciones ambulantes presentes en el mismo.</w:t>
      </w:r>
    </w:p>
    <w:p w14:paraId="645A6293" w14:textId="77777777" w:rsidR="00A52093" w:rsidRPr="00A52093" w:rsidRDefault="00A52093" w:rsidP="002E09E6">
      <w:pPr>
        <w:numPr>
          <w:ilvl w:val="0"/>
          <w:numId w:val="2"/>
        </w:numPr>
        <w:spacing w:before="0" w:after="0" w:line="240" w:lineRule="auto"/>
        <w:contextualSpacing/>
        <w:jc w:val="both"/>
        <w:rPr>
          <w:rFonts w:eastAsia="Times New Roman"/>
          <w:bCs/>
          <w:color w:val="3C3C3C"/>
          <w:sz w:val="18"/>
          <w:szCs w:val="18"/>
        </w:rPr>
      </w:pPr>
      <w:r w:rsidRPr="00A52093">
        <w:rPr>
          <w:rFonts w:eastAsia="Times New Roman"/>
          <w:bCs/>
          <w:color w:val="3C3C3C"/>
          <w:sz w:val="18"/>
          <w:szCs w:val="18"/>
        </w:rPr>
        <w:t xml:space="preserve">Las solicitudes para este tipo de suministros deberán realizarse con una ANTELACIÓN MÍNIMA de 15 días </w:t>
      </w:r>
      <w:r w:rsidRPr="00A52093">
        <w:rPr>
          <w:rFonts w:eastAsia="Times New Roman"/>
          <w:color w:val="3C3C3C"/>
          <w:sz w:val="18"/>
          <w:szCs w:val="18"/>
        </w:rPr>
        <w:t>en nuestra Oficina de Atención al Cliente, indicando:</w:t>
      </w:r>
    </w:p>
    <w:p w14:paraId="7A848787" w14:textId="77777777" w:rsidR="00A52093" w:rsidRPr="00A52093" w:rsidRDefault="00A52093" w:rsidP="002E09E6">
      <w:pPr>
        <w:numPr>
          <w:ilvl w:val="1"/>
          <w:numId w:val="2"/>
        </w:numPr>
        <w:spacing w:before="0" w:after="0" w:line="240" w:lineRule="auto"/>
        <w:contextualSpacing/>
        <w:jc w:val="both"/>
        <w:rPr>
          <w:rFonts w:eastAsia="Times New Roman"/>
          <w:bCs/>
          <w:color w:val="3C3C3C"/>
          <w:sz w:val="18"/>
          <w:szCs w:val="18"/>
        </w:rPr>
      </w:pPr>
      <w:r w:rsidRPr="00A52093">
        <w:rPr>
          <w:rFonts w:eastAsia="Times New Roman"/>
          <w:color w:val="3C3C3C"/>
          <w:sz w:val="18"/>
          <w:szCs w:val="18"/>
        </w:rPr>
        <w:t>ubicación</w:t>
      </w:r>
    </w:p>
    <w:p w14:paraId="495035FC" w14:textId="77777777" w:rsidR="00A52093" w:rsidRPr="00A52093" w:rsidRDefault="00A52093" w:rsidP="002E09E6">
      <w:pPr>
        <w:numPr>
          <w:ilvl w:val="1"/>
          <w:numId w:val="2"/>
        </w:numPr>
        <w:spacing w:before="0" w:after="0" w:line="240" w:lineRule="auto"/>
        <w:contextualSpacing/>
        <w:jc w:val="both"/>
        <w:rPr>
          <w:rFonts w:eastAsia="Times New Roman"/>
          <w:bCs/>
          <w:color w:val="3C3C3C"/>
          <w:sz w:val="18"/>
          <w:szCs w:val="18"/>
        </w:rPr>
      </w:pPr>
      <w:r w:rsidRPr="00A52093">
        <w:rPr>
          <w:rFonts w:eastAsia="Times New Roman"/>
          <w:color w:val="3C3C3C"/>
          <w:sz w:val="18"/>
          <w:szCs w:val="18"/>
        </w:rPr>
        <w:t>potencia TOTAL solicitada</w:t>
      </w:r>
    </w:p>
    <w:p w14:paraId="2533ECC6" w14:textId="2F9EF4E6" w:rsidR="00A52093" w:rsidRPr="00A52093" w:rsidRDefault="00A52093" w:rsidP="002E09E6">
      <w:pPr>
        <w:numPr>
          <w:ilvl w:val="1"/>
          <w:numId w:val="2"/>
        </w:numPr>
        <w:spacing w:before="0" w:after="0" w:line="240" w:lineRule="auto"/>
        <w:contextualSpacing/>
        <w:jc w:val="both"/>
        <w:rPr>
          <w:rFonts w:eastAsia="Times New Roman"/>
          <w:bCs/>
          <w:color w:val="3C3C3C"/>
          <w:sz w:val="18"/>
          <w:szCs w:val="18"/>
        </w:rPr>
      </w:pPr>
      <w:r w:rsidRPr="00A52093">
        <w:rPr>
          <w:rFonts w:eastAsia="Times New Roman"/>
          <w:color w:val="3C3C3C"/>
          <w:sz w:val="18"/>
          <w:szCs w:val="18"/>
        </w:rPr>
        <w:t>fechas del suministro</w:t>
      </w:r>
      <w:r w:rsidR="002E09E6" w:rsidRPr="007773CE">
        <w:rPr>
          <w:rFonts w:eastAsia="Times New Roman"/>
          <w:color w:val="3C3C3C"/>
          <w:sz w:val="18"/>
          <w:szCs w:val="18"/>
        </w:rPr>
        <w:t xml:space="preserve"> eventual</w:t>
      </w:r>
    </w:p>
    <w:p w14:paraId="540F34CE" w14:textId="77777777" w:rsidR="00A52093" w:rsidRPr="00A52093" w:rsidRDefault="00A52093" w:rsidP="002E09E6">
      <w:pPr>
        <w:numPr>
          <w:ilvl w:val="0"/>
          <w:numId w:val="2"/>
        </w:numPr>
        <w:spacing w:before="0" w:after="0" w:line="240" w:lineRule="auto"/>
        <w:contextualSpacing/>
        <w:jc w:val="both"/>
        <w:rPr>
          <w:rFonts w:eastAsia="Times New Roman"/>
          <w:bCs/>
          <w:color w:val="3C3C3C"/>
          <w:sz w:val="18"/>
          <w:szCs w:val="18"/>
        </w:rPr>
      </w:pPr>
      <w:r w:rsidRPr="00A52093">
        <w:rPr>
          <w:rFonts w:eastAsia="Times New Roman"/>
          <w:color w:val="3C3C3C"/>
          <w:sz w:val="18"/>
          <w:szCs w:val="18"/>
        </w:rPr>
        <w:t>Igualmente, deberá aportar los siguientes documentos:</w:t>
      </w:r>
    </w:p>
    <w:p w14:paraId="6669AA9C" w14:textId="65923F86" w:rsidR="00A52093" w:rsidRPr="00A52093" w:rsidRDefault="00A52093" w:rsidP="002E09E6">
      <w:pPr>
        <w:numPr>
          <w:ilvl w:val="1"/>
          <w:numId w:val="2"/>
        </w:numPr>
        <w:spacing w:before="0" w:after="0" w:line="240" w:lineRule="auto"/>
        <w:contextualSpacing/>
        <w:jc w:val="both"/>
        <w:rPr>
          <w:rFonts w:eastAsia="Times New Roman"/>
          <w:bCs/>
          <w:color w:val="3C3C3C"/>
          <w:sz w:val="18"/>
          <w:szCs w:val="18"/>
        </w:rPr>
      </w:pPr>
      <w:r w:rsidRPr="00A52093">
        <w:rPr>
          <w:rFonts w:eastAsia="Times New Roman"/>
          <w:color w:val="3C3C3C"/>
          <w:sz w:val="18"/>
          <w:szCs w:val="18"/>
        </w:rPr>
        <w:t>CIE de la instalación que se conectará a la red de distribución (el cual indicará la potencia máxima admisible correspondiente al interruptor general automático</w:t>
      </w:r>
      <w:r w:rsidR="002E09E6" w:rsidRPr="007773CE">
        <w:rPr>
          <w:rFonts w:eastAsia="Times New Roman"/>
          <w:color w:val="3C3C3C"/>
          <w:sz w:val="18"/>
          <w:szCs w:val="18"/>
        </w:rPr>
        <w:t xml:space="preserve">, que deberá cubrir </w:t>
      </w:r>
      <w:r w:rsidR="00224DF1">
        <w:rPr>
          <w:rFonts w:eastAsia="Times New Roman"/>
          <w:color w:val="3C3C3C"/>
          <w:sz w:val="18"/>
          <w:szCs w:val="18"/>
        </w:rPr>
        <w:t>la suma de las potencias de todas las instalaciones temporales o ambulantes conectadas al mismo).</w:t>
      </w:r>
    </w:p>
    <w:p w14:paraId="1CA8395F" w14:textId="0EDB2211" w:rsidR="00A52093" w:rsidRPr="00B34B7B" w:rsidRDefault="00A52093" w:rsidP="002E09E6">
      <w:pPr>
        <w:numPr>
          <w:ilvl w:val="1"/>
          <w:numId w:val="2"/>
        </w:numPr>
        <w:spacing w:before="0" w:after="0" w:line="240" w:lineRule="auto"/>
        <w:contextualSpacing/>
        <w:jc w:val="both"/>
        <w:rPr>
          <w:rFonts w:eastAsia="Times New Roman"/>
          <w:bCs/>
          <w:color w:val="3C3C3C"/>
          <w:sz w:val="18"/>
          <w:szCs w:val="18"/>
        </w:rPr>
      </w:pPr>
      <w:r w:rsidRPr="00B34B7B">
        <w:rPr>
          <w:rFonts w:eastAsia="Times New Roman"/>
          <w:color w:val="3C3C3C"/>
          <w:sz w:val="18"/>
          <w:szCs w:val="18"/>
        </w:rPr>
        <w:t>autorización municipal</w:t>
      </w:r>
      <w:r w:rsidR="00B34B7B" w:rsidRPr="00B34B7B">
        <w:rPr>
          <w:rFonts w:eastAsia="Times New Roman"/>
          <w:color w:val="3C3C3C"/>
          <w:sz w:val="18"/>
          <w:szCs w:val="18"/>
        </w:rPr>
        <w:t xml:space="preserve"> o </w:t>
      </w:r>
      <w:r w:rsidRPr="00B34B7B">
        <w:rPr>
          <w:rFonts w:eastAsia="Times New Roman"/>
          <w:color w:val="3C3C3C"/>
          <w:sz w:val="18"/>
          <w:szCs w:val="18"/>
        </w:rPr>
        <w:t>declaración responsable especificada en la Ley 10/2017 de espectáculos públicos y actividades recreativas de Galicia</w:t>
      </w:r>
    </w:p>
    <w:p w14:paraId="54A3E1F6" w14:textId="3AA497E0" w:rsidR="00224DF1" w:rsidRDefault="00224DF1" w:rsidP="00224DF1">
      <w:pPr>
        <w:pStyle w:val="Prrafodelista"/>
        <w:numPr>
          <w:ilvl w:val="0"/>
          <w:numId w:val="2"/>
        </w:numPr>
        <w:spacing w:before="0" w:after="0" w:line="240" w:lineRule="auto"/>
        <w:jc w:val="both"/>
        <w:rPr>
          <w:rFonts w:eastAsia="Times New Roman"/>
          <w:bCs/>
          <w:color w:val="3C3C3C"/>
          <w:sz w:val="18"/>
          <w:szCs w:val="18"/>
        </w:rPr>
      </w:pPr>
      <w:r>
        <w:rPr>
          <w:rFonts w:eastAsia="Times New Roman"/>
          <w:bCs/>
          <w:color w:val="3C3C3C"/>
          <w:sz w:val="18"/>
          <w:szCs w:val="18"/>
        </w:rPr>
        <w:t>La</w:t>
      </w:r>
      <w:r w:rsidRPr="00661ABD">
        <w:rPr>
          <w:rFonts w:eastAsia="Times New Roman"/>
          <w:bCs/>
          <w:color w:val="3C3C3C"/>
          <w:sz w:val="18"/>
          <w:szCs w:val="18"/>
        </w:rPr>
        <w:t xml:space="preserve"> instalación eléctrica provisional del evento deberá contar con su correspondiente </w:t>
      </w:r>
      <w:r w:rsidRPr="001B239B">
        <w:rPr>
          <w:rFonts w:eastAsia="Times New Roman"/>
          <w:bCs/>
          <w:color w:val="3C3C3C"/>
          <w:sz w:val="18"/>
          <w:szCs w:val="18"/>
        </w:rPr>
        <w:t>EQUIPO DE MEDIDA y caja general de protección (CGP), para poder conectarse a la red de distrib</w:t>
      </w:r>
      <w:r w:rsidRPr="00661ABD">
        <w:rPr>
          <w:rFonts w:eastAsia="Times New Roman"/>
          <w:bCs/>
          <w:color w:val="3C3C3C"/>
          <w:sz w:val="18"/>
          <w:szCs w:val="18"/>
        </w:rPr>
        <w:t>ución.  Esta conexión a la red de distribución será realizada única y exclusivamente por el personal técnico de Hidroeléctrica de Laracha</w:t>
      </w:r>
      <w:r w:rsidRPr="001B239B">
        <w:rPr>
          <w:rFonts w:eastAsia="Times New Roman"/>
          <w:bCs/>
          <w:color w:val="3C3C3C"/>
          <w:sz w:val="18"/>
          <w:szCs w:val="18"/>
        </w:rPr>
        <w:t xml:space="preserve">. </w:t>
      </w:r>
      <w:r w:rsidR="003870A1" w:rsidRPr="001B239B">
        <w:rPr>
          <w:rFonts w:eastAsia="Times New Roman"/>
          <w:bCs/>
          <w:color w:val="3C3C3C"/>
          <w:sz w:val="18"/>
          <w:szCs w:val="18"/>
        </w:rPr>
        <w:t xml:space="preserve"> Se adjunta, como ejemplo ilustrativo, el esquema unifilar de una instalación tipo para un suministro eventual para fiestas o eventos populares.</w:t>
      </w:r>
    </w:p>
    <w:p w14:paraId="35D2207D" w14:textId="3C13E309" w:rsidR="00935EB9" w:rsidRPr="001B239B" w:rsidRDefault="009954EA" w:rsidP="009954EA">
      <w:pPr>
        <w:pStyle w:val="Prrafodelista"/>
        <w:numPr>
          <w:ilvl w:val="0"/>
          <w:numId w:val="2"/>
        </w:numPr>
        <w:spacing w:before="0" w:after="0" w:line="240" w:lineRule="auto"/>
        <w:jc w:val="both"/>
        <w:rPr>
          <w:rFonts w:eastAsia="Times New Roman"/>
          <w:bCs/>
          <w:color w:val="3C3C3C"/>
          <w:sz w:val="18"/>
          <w:szCs w:val="18"/>
        </w:rPr>
      </w:pPr>
      <w:r>
        <w:rPr>
          <w:rFonts w:eastAsia="Times New Roman"/>
          <w:bCs/>
          <w:color w:val="3C3C3C"/>
          <w:sz w:val="18"/>
          <w:szCs w:val="18"/>
        </w:rPr>
        <w:t xml:space="preserve">Las condiciones para la instalación de arcos de alumbrado ornamental se concretan en el </w:t>
      </w:r>
      <w:r w:rsidRPr="001B239B">
        <w:rPr>
          <w:rFonts w:eastAsia="Times New Roman"/>
          <w:bCs/>
          <w:color w:val="3C3C3C"/>
          <w:sz w:val="18"/>
          <w:szCs w:val="18"/>
        </w:rPr>
        <w:t>documento anexo a la presente comunicación.</w:t>
      </w:r>
    </w:p>
    <w:p w14:paraId="2E20746F" w14:textId="4C8BA5DF" w:rsidR="00224DF1" w:rsidRPr="007773CE" w:rsidRDefault="00224DF1" w:rsidP="00224DF1">
      <w:pPr>
        <w:jc w:val="both"/>
        <w:rPr>
          <w:sz w:val="18"/>
          <w:szCs w:val="18"/>
        </w:rPr>
      </w:pPr>
      <w:r w:rsidRPr="001B239B">
        <w:rPr>
          <w:sz w:val="18"/>
          <w:szCs w:val="18"/>
        </w:rPr>
        <w:t>Las solicitudes realizadas por personas distintas al titular/organizador del evento, o que incumplan el plazo de antelación de 15 días indicado, no podrán ser atendidas y, por tanto, las necesidades energéticas del evento, en estos casos, deberán ser cubiertas por fuentes ajenas a la red de distribución.</w:t>
      </w:r>
      <w:r w:rsidRPr="007773CE">
        <w:rPr>
          <w:sz w:val="18"/>
          <w:szCs w:val="18"/>
        </w:rPr>
        <w:t xml:space="preserve"> </w:t>
      </w:r>
    </w:p>
    <w:p w14:paraId="2F5A13CE" w14:textId="77777777" w:rsidR="00A52093" w:rsidRPr="00A52093" w:rsidRDefault="00A52093" w:rsidP="002E09E6">
      <w:pPr>
        <w:spacing w:before="0" w:after="0" w:line="240" w:lineRule="auto"/>
        <w:contextualSpacing/>
        <w:jc w:val="both"/>
        <w:rPr>
          <w:rFonts w:eastAsia="Times New Roman"/>
          <w:b/>
          <w:bCs/>
          <w:color w:val="3C3C3C"/>
          <w:sz w:val="18"/>
          <w:szCs w:val="18"/>
        </w:rPr>
      </w:pPr>
      <w:r w:rsidRPr="00A52093">
        <w:rPr>
          <w:rFonts w:eastAsia="Times New Roman"/>
          <w:color w:val="3C3C3C"/>
          <w:sz w:val="18"/>
          <w:szCs w:val="18"/>
        </w:rPr>
        <w:t xml:space="preserve">Cualquier conexión que no haya sido realizada o autorizada por Hidroeléctrica de Laracha tendrá la consideración de CONEXIÓN ILEGAL, por lo que se procederá a su retirada y denunciada a las autoridades competentes, con independencia de que el cliente disponga o no de un contrato firmado con una empresa comercializadora.  </w:t>
      </w:r>
      <w:r w:rsidRPr="00A52093">
        <w:rPr>
          <w:rFonts w:eastAsia="Times New Roman"/>
          <w:b/>
          <w:bCs/>
          <w:color w:val="3C3C3C"/>
          <w:sz w:val="18"/>
          <w:szCs w:val="18"/>
        </w:rPr>
        <w:t xml:space="preserve">En todo caso, Hidroeléctrica de Laracha deriva toda responsabilidad por los daños y perjuicios que puedan ocasionarse con motivo de las conexiones no autorizadas a la red de distribución, tanto a sus propias instalaciones, como a las del titular/organizador del evento o de terceros, que deberá asumir el titular/organizador del evento. </w:t>
      </w:r>
    </w:p>
    <w:p w14:paraId="604B1EEE" w14:textId="77777777" w:rsidR="00A52093" w:rsidRPr="00A52093" w:rsidRDefault="00A52093" w:rsidP="002E09E6">
      <w:pPr>
        <w:spacing w:before="0" w:after="0" w:line="240" w:lineRule="auto"/>
        <w:contextualSpacing/>
        <w:jc w:val="both"/>
        <w:rPr>
          <w:rFonts w:eastAsia="Times New Roman"/>
          <w:bCs/>
          <w:color w:val="3C3C3C"/>
          <w:sz w:val="18"/>
          <w:szCs w:val="18"/>
        </w:rPr>
      </w:pPr>
    </w:p>
    <w:p w14:paraId="3CEE8C78" w14:textId="77777777" w:rsidR="00A52093" w:rsidRPr="00A52093" w:rsidRDefault="00A52093" w:rsidP="002E09E6">
      <w:pPr>
        <w:spacing w:before="0" w:after="0" w:line="240" w:lineRule="auto"/>
        <w:contextualSpacing/>
        <w:jc w:val="both"/>
        <w:rPr>
          <w:rFonts w:eastAsia="Times New Roman"/>
          <w:bCs/>
          <w:i/>
          <w:iCs/>
          <w:color w:val="3C3C3C"/>
          <w:sz w:val="18"/>
          <w:szCs w:val="18"/>
        </w:rPr>
      </w:pPr>
      <w:r w:rsidRPr="00A52093">
        <w:rPr>
          <w:rFonts w:eastAsia="Times New Roman"/>
          <w:bCs/>
          <w:i/>
          <w:iCs/>
          <w:color w:val="3C3C3C"/>
          <w:sz w:val="18"/>
          <w:szCs w:val="18"/>
        </w:rPr>
        <w:t xml:space="preserve">A Coruña, a </w:t>
      </w:r>
      <w:proofErr w:type="spellStart"/>
      <w:r w:rsidRPr="00A52093">
        <w:rPr>
          <w:rFonts w:eastAsia="Times New Roman"/>
          <w:bCs/>
          <w:i/>
          <w:iCs/>
          <w:color w:val="3C3C3C"/>
          <w:sz w:val="18"/>
          <w:szCs w:val="18"/>
          <w:highlight w:val="yellow"/>
        </w:rPr>
        <w:t>xxxxx</w:t>
      </w:r>
      <w:proofErr w:type="spellEnd"/>
    </w:p>
    <w:p w14:paraId="6F607A78" w14:textId="7F17B546" w:rsidR="00A52093" w:rsidRDefault="00A52093" w:rsidP="00A52093">
      <w:pPr>
        <w:spacing w:before="0" w:after="0" w:line="276" w:lineRule="auto"/>
        <w:contextualSpacing/>
        <w:jc w:val="both"/>
        <w:rPr>
          <w:rFonts w:eastAsia="Times New Roman"/>
          <w:bCs/>
          <w:i/>
          <w:iCs/>
          <w:color w:val="3C3C3C"/>
          <w:sz w:val="18"/>
          <w:szCs w:val="18"/>
        </w:rPr>
      </w:pPr>
    </w:p>
    <w:p w14:paraId="4B923C9C" w14:textId="442C0204" w:rsidR="00B012F1" w:rsidRDefault="00B012F1" w:rsidP="00A52093">
      <w:pPr>
        <w:spacing w:before="0" w:after="0" w:line="276" w:lineRule="auto"/>
        <w:contextualSpacing/>
        <w:jc w:val="both"/>
        <w:rPr>
          <w:rFonts w:eastAsia="Times New Roman"/>
          <w:bCs/>
          <w:i/>
          <w:iCs/>
          <w:color w:val="3C3C3C"/>
          <w:sz w:val="18"/>
          <w:szCs w:val="18"/>
        </w:rPr>
      </w:pPr>
    </w:p>
    <w:p w14:paraId="425DB2D3" w14:textId="77777777" w:rsidR="00A52093" w:rsidRPr="00A52093" w:rsidRDefault="00A52093" w:rsidP="00A52093">
      <w:pPr>
        <w:spacing w:before="0" w:after="0" w:line="276" w:lineRule="auto"/>
        <w:contextualSpacing/>
        <w:jc w:val="both"/>
        <w:rPr>
          <w:rFonts w:eastAsia="Times New Roman"/>
          <w:bCs/>
          <w:color w:val="3C3C3C"/>
          <w:sz w:val="18"/>
          <w:szCs w:val="18"/>
        </w:rPr>
      </w:pPr>
      <w:r w:rsidRPr="00A52093">
        <w:rPr>
          <w:rFonts w:eastAsia="Times New Roman"/>
          <w:bCs/>
          <w:color w:val="3C3C3C"/>
          <w:sz w:val="18"/>
          <w:szCs w:val="18"/>
        </w:rPr>
        <w:t>Hidroeléctrica de Laracha S.L.U.</w:t>
      </w:r>
    </w:p>
    <w:p w14:paraId="1FA217A1" w14:textId="77777777" w:rsidR="00A52093" w:rsidRPr="00A52093" w:rsidRDefault="00A52093" w:rsidP="00A52093">
      <w:pPr>
        <w:spacing w:before="0" w:after="0" w:line="276" w:lineRule="auto"/>
        <w:contextualSpacing/>
        <w:jc w:val="both"/>
        <w:rPr>
          <w:rFonts w:eastAsia="Times New Roman"/>
          <w:bCs/>
          <w:i/>
          <w:iCs/>
          <w:color w:val="3C3C3C"/>
          <w:sz w:val="18"/>
          <w:szCs w:val="18"/>
        </w:rPr>
      </w:pPr>
    </w:p>
    <w:p w14:paraId="28714033" w14:textId="343E2799" w:rsidR="00A52093" w:rsidRPr="00A52093" w:rsidRDefault="00A52093" w:rsidP="00A52093">
      <w:pPr>
        <w:spacing w:before="0" w:after="0" w:line="276" w:lineRule="auto"/>
        <w:ind w:left="567"/>
        <w:contextualSpacing/>
        <w:jc w:val="center"/>
        <w:rPr>
          <w:rFonts w:eastAsia="Times New Roman"/>
          <w:b/>
          <w:color w:val="3C3C3C"/>
          <w:sz w:val="18"/>
          <w:szCs w:val="18"/>
        </w:rPr>
      </w:pPr>
      <w:r w:rsidRPr="00A52093">
        <w:rPr>
          <w:rFonts w:eastAsia="Times New Roman"/>
          <w:b/>
          <w:color w:val="3C3C3C"/>
          <w:sz w:val="18"/>
          <w:szCs w:val="18"/>
        </w:rPr>
        <w:lastRenderedPageBreak/>
        <w:t>CONDICIONES PARA LA INSTALACIÓN DE ARCOS DE ALUMBRADO ORNAMENTAL EN LA RBT DE HIDROELÉCTRICA DE LARACHA, S.L.U.</w:t>
      </w:r>
    </w:p>
    <w:p w14:paraId="1BB8ADA9" w14:textId="77777777" w:rsidR="00A52093" w:rsidRPr="00A52093" w:rsidRDefault="00A52093" w:rsidP="00A52093">
      <w:pPr>
        <w:spacing w:before="0" w:after="0" w:line="276" w:lineRule="auto"/>
        <w:ind w:left="720"/>
        <w:contextualSpacing/>
        <w:jc w:val="both"/>
        <w:rPr>
          <w:rFonts w:eastAsia="Times New Roman"/>
          <w:b/>
          <w:color w:val="3C3C3C"/>
          <w:sz w:val="18"/>
          <w:szCs w:val="18"/>
        </w:rPr>
      </w:pPr>
    </w:p>
    <w:p w14:paraId="16EAEAAA" w14:textId="77777777" w:rsidR="00A52093" w:rsidRPr="00A52093" w:rsidRDefault="00A52093" w:rsidP="00A52093">
      <w:pPr>
        <w:spacing w:before="0" w:after="0" w:line="276" w:lineRule="auto"/>
        <w:jc w:val="both"/>
        <w:rPr>
          <w:rFonts w:eastAsia="Times New Roman"/>
          <w:color w:val="3C3C3C"/>
          <w:sz w:val="18"/>
          <w:szCs w:val="18"/>
        </w:rPr>
      </w:pPr>
      <w:r w:rsidRPr="00A52093">
        <w:rPr>
          <w:rFonts w:eastAsia="Times New Roman"/>
          <w:color w:val="3C3C3C"/>
          <w:sz w:val="18"/>
          <w:szCs w:val="18"/>
        </w:rPr>
        <w:t xml:space="preserve">Con el fin de evitar anomalías en la instalación de arcos de alumbrado provisionales para fiestas y eventos, se informa a los titulares/organizadores que la instalación de tales elementos deberá respetar lo establecido en la </w:t>
      </w:r>
      <w:r w:rsidRPr="00A52093">
        <w:rPr>
          <w:rFonts w:eastAsia="Times New Roman"/>
          <w:b/>
          <w:color w:val="3C3C3C"/>
          <w:sz w:val="18"/>
          <w:szCs w:val="18"/>
        </w:rPr>
        <w:t>ITC- 09 Instalaciones de Alumbrado Exterior</w:t>
      </w:r>
      <w:r w:rsidRPr="00A52093">
        <w:rPr>
          <w:rFonts w:eastAsia="Times New Roman"/>
          <w:color w:val="3C3C3C"/>
          <w:sz w:val="18"/>
          <w:szCs w:val="18"/>
        </w:rPr>
        <w:t xml:space="preserve"> del REBT, que establece:  </w:t>
      </w:r>
    </w:p>
    <w:p w14:paraId="4D392D0F" w14:textId="77777777" w:rsidR="00A52093" w:rsidRPr="00A52093" w:rsidRDefault="00A52093" w:rsidP="00A52093">
      <w:pPr>
        <w:spacing w:before="0" w:after="0" w:line="276" w:lineRule="auto"/>
        <w:jc w:val="both"/>
        <w:rPr>
          <w:rFonts w:eastAsia="Times New Roman"/>
          <w:color w:val="3C3C3C"/>
          <w:sz w:val="18"/>
          <w:szCs w:val="18"/>
        </w:rPr>
      </w:pPr>
    </w:p>
    <w:p w14:paraId="25828639" w14:textId="77777777" w:rsidR="00A52093" w:rsidRPr="00A52093" w:rsidRDefault="00A52093" w:rsidP="00A52093">
      <w:pPr>
        <w:spacing w:before="0" w:after="0" w:line="276" w:lineRule="auto"/>
        <w:ind w:left="284"/>
        <w:jc w:val="both"/>
        <w:rPr>
          <w:rFonts w:eastAsia="Times New Roman"/>
          <w:color w:val="3C3C3C"/>
          <w:sz w:val="18"/>
          <w:szCs w:val="18"/>
        </w:rPr>
      </w:pPr>
      <w:r w:rsidRPr="00A52093">
        <w:rPr>
          <w:rFonts w:eastAsia="Times New Roman"/>
          <w:color w:val="3C3C3C"/>
          <w:sz w:val="18"/>
          <w:szCs w:val="18"/>
        </w:rPr>
        <w:t xml:space="preserve">5.2.2 Redes Aéreas: </w:t>
      </w:r>
    </w:p>
    <w:p w14:paraId="1B63F028" w14:textId="77777777" w:rsidR="00A52093" w:rsidRPr="00A52093" w:rsidRDefault="00A52093" w:rsidP="00A52093">
      <w:pPr>
        <w:spacing w:before="0" w:after="0" w:line="276" w:lineRule="auto"/>
        <w:ind w:left="284" w:right="282"/>
        <w:jc w:val="both"/>
        <w:rPr>
          <w:rFonts w:eastAsia="Times New Roman"/>
          <w:color w:val="3C3C3C"/>
          <w:sz w:val="18"/>
          <w:szCs w:val="18"/>
        </w:rPr>
      </w:pPr>
      <w:r w:rsidRPr="00A52093">
        <w:rPr>
          <w:rFonts w:eastAsia="Times New Roman"/>
          <w:color w:val="3C3C3C"/>
          <w:sz w:val="18"/>
          <w:szCs w:val="18"/>
        </w:rPr>
        <w:t>“Se emplearán los sistemas y materiales adecuados para las redes aéreas aisladas descritas en la ITC-BT-06”. “En caso de ir sobre apoyos comunes con los de una red de distribución, el tendido de los cables de alumbrado será independiente de aquel”</w:t>
      </w:r>
    </w:p>
    <w:p w14:paraId="6400F1E4" w14:textId="77777777" w:rsidR="00A52093" w:rsidRPr="00A52093" w:rsidRDefault="00A52093" w:rsidP="00A52093">
      <w:pPr>
        <w:spacing w:before="0" w:after="0" w:line="276" w:lineRule="auto"/>
        <w:ind w:left="284" w:right="282"/>
        <w:jc w:val="both"/>
        <w:rPr>
          <w:rFonts w:eastAsia="Times New Roman"/>
          <w:color w:val="3C3C3C"/>
          <w:sz w:val="18"/>
          <w:szCs w:val="18"/>
        </w:rPr>
      </w:pPr>
    </w:p>
    <w:p w14:paraId="134C9CFC" w14:textId="77777777" w:rsidR="00A52093" w:rsidRPr="00A52093" w:rsidRDefault="00A52093" w:rsidP="00A52093">
      <w:pPr>
        <w:spacing w:before="0" w:after="0" w:line="276" w:lineRule="auto"/>
        <w:ind w:left="284" w:right="282"/>
        <w:jc w:val="both"/>
        <w:rPr>
          <w:rFonts w:eastAsia="Times New Roman"/>
          <w:color w:val="3C3C3C"/>
          <w:sz w:val="18"/>
          <w:szCs w:val="18"/>
        </w:rPr>
      </w:pPr>
      <w:r w:rsidRPr="00A52093">
        <w:rPr>
          <w:rFonts w:eastAsia="Times New Roman"/>
          <w:color w:val="3C3C3C"/>
          <w:sz w:val="18"/>
          <w:szCs w:val="18"/>
        </w:rPr>
        <w:t>7.2 Instalación eléctrica de luminarias suspendidas:</w:t>
      </w:r>
    </w:p>
    <w:p w14:paraId="7D2F2B43" w14:textId="77777777" w:rsidR="00A52093" w:rsidRPr="00A52093" w:rsidRDefault="00A52093" w:rsidP="00A52093">
      <w:pPr>
        <w:spacing w:before="0" w:after="0" w:line="276" w:lineRule="auto"/>
        <w:ind w:left="284" w:right="282"/>
        <w:jc w:val="both"/>
        <w:rPr>
          <w:rFonts w:eastAsia="Times New Roman"/>
          <w:color w:val="3C3C3C"/>
          <w:sz w:val="18"/>
          <w:szCs w:val="18"/>
        </w:rPr>
      </w:pPr>
      <w:r w:rsidRPr="00A52093">
        <w:rPr>
          <w:rFonts w:eastAsia="Times New Roman"/>
          <w:color w:val="3C3C3C"/>
          <w:sz w:val="18"/>
          <w:szCs w:val="18"/>
        </w:rPr>
        <w:t>“La suspensión de las luminarias se hará mediante cables de acero protegido contra la corrosión, de sección suficiente para que posea una resistencia mecánica con coeficiente de seguridad no inferior a 3,5. La altura mínima sobre el nivel del suelo será de 6 m”.</w:t>
      </w:r>
    </w:p>
    <w:p w14:paraId="159BA0A1" w14:textId="77777777" w:rsidR="00A52093" w:rsidRPr="00A52093" w:rsidRDefault="00A52093" w:rsidP="00A52093">
      <w:pPr>
        <w:spacing w:before="0" w:after="0" w:line="276" w:lineRule="auto"/>
        <w:jc w:val="both"/>
        <w:rPr>
          <w:rFonts w:eastAsia="Times New Roman"/>
          <w:color w:val="3C3C3C"/>
          <w:sz w:val="18"/>
          <w:szCs w:val="18"/>
        </w:rPr>
      </w:pPr>
    </w:p>
    <w:p w14:paraId="0E6DFA90" w14:textId="0EB2DEBD" w:rsidR="00A52093" w:rsidRPr="00A52093" w:rsidRDefault="00A52093" w:rsidP="00A52093">
      <w:pPr>
        <w:spacing w:before="0" w:after="0" w:line="276" w:lineRule="auto"/>
        <w:jc w:val="both"/>
        <w:rPr>
          <w:rFonts w:eastAsia="Times New Roman"/>
          <w:color w:val="3C3C3C"/>
          <w:sz w:val="18"/>
          <w:szCs w:val="18"/>
        </w:rPr>
      </w:pPr>
      <w:r w:rsidRPr="00A52093">
        <w:rPr>
          <w:rFonts w:eastAsia="Times New Roman"/>
          <w:color w:val="3C3C3C"/>
          <w:sz w:val="18"/>
          <w:szCs w:val="18"/>
        </w:rPr>
        <w:t xml:space="preserve">Todas las luminarias deberán contar, en cada punto de conexión a la red de distribución. con un cuadro de protección con su </w:t>
      </w:r>
      <w:r w:rsidRPr="001B239B">
        <w:rPr>
          <w:rFonts w:eastAsia="Times New Roman"/>
          <w:color w:val="3C3C3C"/>
          <w:sz w:val="18"/>
          <w:szCs w:val="18"/>
        </w:rPr>
        <w:t>correspondiente interruptor magnetotérmico e interruptor diferencial de corriente asignada máxima 30mA.</w:t>
      </w:r>
      <w:r w:rsidR="003870A1" w:rsidRPr="001B239B">
        <w:rPr>
          <w:rFonts w:eastAsia="Times New Roman"/>
          <w:color w:val="3C3C3C"/>
          <w:sz w:val="18"/>
          <w:szCs w:val="18"/>
        </w:rPr>
        <w:t xml:space="preserve"> </w:t>
      </w:r>
      <w:r w:rsidR="003870A1" w:rsidRPr="001B239B">
        <w:rPr>
          <w:rFonts w:eastAsia="Times New Roman"/>
          <w:bCs/>
          <w:color w:val="3C3C3C"/>
          <w:sz w:val="18"/>
          <w:szCs w:val="18"/>
        </w:rPr>
        <w:t>Se adjunta, como ejemplo ilustrativo, el esquema unifilar de una instalación tipo</w:t>
      </w:r>
      <w:r w:rsidR="00B012F1" w:rsidRPr="001B239B">
        <w:rPr>
          <w:rFonts w:eastAsia="Times New Roman"/>
          <w:bCs/>
          <w:color w:val="3C3C3C"/>
          <w:sz w:val="18"/>
          <w:szCs w:val="18"/>
        </w:rPr>
        <w:t xml:space="preserve"> para suministro de arcos de iluminación.</w:t>
      </w:r>
      <w:r w:rsidR="00B012F1">
        <w:rPr>
          <w:rFonts w:eastAsia="Times New Roman"/>
          <w:bCs/>
          <w:color w:val="3C3C3C"/>
          <w:sz w:val="18"/>
          <w:szCs w:val="18"/>
        </w:rPr>
        <w:t xml:space="preserve"> </w:t>
      </w:r>
    </w:p>
    <w:p w14:paraId="2C321106" w14:textId="77777777" w:rsidR="00A52093" w:rsidRPr="00A52093" w:rsidRDefault="00A52093" w:rsidP="00A52093">
      <w:pPr>
        <w:spacing w:before="0" w:after="0" w:line="276" w:lineRule="auto"/>
        <w:jc w:val="both"/>
        <w:rPr>
          <w:rFonts w:eastAsia="Times New Roman"/>
          <w:color w:val="3C3C3C"/>
          <w:sz w:val="18"/>
          <w:szCs w:val="18"/>
        </w:rPr>
      </w:pPr>
    </w:p>
    <w:p w14:paraId="17C3DB30" w14:textId="77777777" w:rsidR="00A52093" w:rsidRPr="00A52093" w:rsidRDefault="00A52093" w:rsidP="00A52093">
      <w:pPr>
        <w:spacing w:before="0" w:after="0" w:line="276" w:lineRule="auto"/>
        <w:jc w:val="both"/>
        <w:rPr>
          <w:rFonts w:eastAsia="Times New Roman"/>
          <w:color w:val="3C3C3C"/>
          <w:sz w:val="18"/>
          <w:szCs w:val="18"/>
        </w:rPr>
      </w:pPr>
      <w:r w:rsidRPr="00A52093">
        <w:rPr>
          <w:rFonts w:eastAsia="Times New Roman"/>
          <w:bCs/>
          <w:color w:val="3C3C3C"/>
          <w:sz w:val="18"/>
          <w:szCs w:val="18"/>
        </w:rPr>
        <w:t>No está permitido el uso de los conductores eléctricos aislados de la RBT titularidad de esta Distribuidora, ni de sus elementos de anclaje o sujeción</w:t>
      </w:r>
      <w:r w:rsidRPr="00A52093">
        <w:rPr>
          <w:rFonts w:eastAsia="Times New Roman"/>
          <w:color w:val="3C3C3C"/>
          <w:sz w:val="18"/>
          <w:szCs w:val="18"/>
        </w:rPr>
        <w:t xml:space="preserve"> (ganchos, pinzas de amarre, pletinas de amarre en fachada, etc.), </w:t>
      </w:r>
      <w:proofErr w:type="gramStart"/>
      <w:r w:rsidRPr="00A52093">
        <w:rPr>
          <w:rFonts w:eastAsia="Times New Roman"/>
          <w:color w:val="3C3C3C"/>
          <w:sz w:val="18"/>
          <w:szCs w:val="18"/>
        </w:rPr>
        <w:t>para  la</w:t>
      </w:r>
      <w:proofErr w:type="gramEnd"/>
      <w:r w:rsidRPr="00A52093">
        <w:rPr>
          <w:rFonts w:eastAsia="Times New Roman"/>
          <w:color w:val="3C3C3C"/>
          <w:sz w:val="18"/>
          <w:szCs w:val="18"/>
        </w:rPr>
        <w:t xml:space="preserve"> sujeción y/o sustentación de los arcos de alumbrado ornamental así como de cualquier otro tipo de elemento. Hidroeléctrica de Laracha no autoriza la conexión a la RBT de los elementos que incumplan tales condicionantes. El personal de Hidroeléctrica de Laracha procederá a la desconexión inmediata en caso de incumplimiento de tal prohibición.</w:t>
      </w:r>
    </w:p>
    <w:p w14:paraId="4FBC8944" w14:textId="77777777" w:rsidR="00A52093" w:rsidRPr="00A52093" w:rsidRDefault="00A52093" w:rsidP="00A52093">
      <w:pPr>
        <w:spacing w:before="0" w:after="0" w:line="276" w:lineRule="auto"/>
        <w:jc w:val="both"/>
        <w:rPr>
          <w:rFonts w:eastAsia="Times New Roman"/>
          <w:color w:val="3C3C3C"/>
          <w:sz w:val="18"/>
          <w:szCs w:val="18"/>
        </w:rPr>
      </w:pPr>
    </w:p>
    <w:p w14:paraId="0EEAE4D3" w14:textId="77777777" w:rsidR="00A52093" w:rsidRPr="00A52093" w:rsidRDefault="00A52093" w:rsidP="00A52093">
      <w:pPr>
        <w:spacing w:before="0" w:after="0" w:line="276" w:lineRule="auto"/>
        <w:contextualSpacing/>
        <w:jc w:val="both"/>
        <w:rPr>
          <w:rFonts w:eastAsia="Times New Roman"/>
          <w:color w:val="3C3C3C"/>
          <w:sz w:val="18"/>
          <w:szCs w:val="18"/>
        </w:rPr>
      </w:pPr>
      <w:r w:rsidRPr="00A52093">
        <w:rPr>
          <w:rFonts w:eastAsia="Times New Roman"/>
          <w:color w:val="3C3C3C"/>
          <w:sz w:val="18"/>
          <w:szCs w:val="18"/>
        </w:rPr>
        <w:t>En todo caso, Hidroeléctrica de Laracha deriva toda responsabilidad por los daños y perjuicios que puedan ocasionarse con motivo de la instalación de tales elementos, tanto a sus propias instalaciones como a terceros, que deberá asumir el responsable de las luminarias</w:t>
      </w:r>
    </w:p>
    <w:p w14:paraId="64593470" w14:textId="77777777" w:rsidR="00A52093" w:rsidRPr="00A52093" w:rsidRDefault="00A52093" w:rsidP="00A52093">
      <w:pPr>
        <w:spacing w:before="0" w:after="0" w:line="276" w:lineRule="auto"/>
        <w:ind w:left="720"/>
        <w:contextualSpacing/>
        <w:jc w:val="both"/>
        <w:rPr>
          <w:rFonts w:eastAsia="Times New Roman"/>
          <w:b/>
          <w:sz w:val="18"/>
          <w:szCs w:val="18"/>
        </w:rPr>
      </w:pPr>
    </w:p>
    <w:p w14:paraId="49A623A4" w14:textId="05B21A61" w:rsidR="003870A1" w:rsidRDefault="003870A1" w:rsidP="007773CE">
      <w:pPr>
        <w:spacing w:before="0" w:after="0" w:line="276" w:lineRule="auto"/>
        <w:contextualSpacing/>
        <w:jc w:val="both"/>
        <w:rPr>
          <w:rFonts w:eastAsia="Times New Roman"/>
          <w:bCs/>
          <w:i/>
          <w:iCs/>
          <w:color w:val="3C3C3C"/>
          <w:sz w:val="18"/>
          <w:szCs w:val="18"/>
        </w:rPr>
      </w:pPr>
    </w:p>
    <w:p w14:paraId="1CAABFE0" w14:textId="5D8FB689" w:rsidR="003870A1" w:rsidRDefault="003870A1" w:rsidP="007773CE">
      <w:pPr>
        <w:spacing w:before="0" w:after="0" w:line="276" w:lineRule="auto"/>
        <w:contextualSpacing/>
        <w:jc w:val="both"/>
        <w:rPr>
          <w:rFonts w:eastAsia="Times New Roman"/>
          <w:bCs/>
          <w:i/>
          <w:iCs/>
          <w:color w:val="3C3C3C"/>
          <w:sz w:val="18"/>
          <w:szCs w:val="18"/>
        </w:rPr>
      </w:pPr>
    </w:p>
    <w:p w14:paraId="6D5A8E84" w14:textId="461A5B9C" w:rsidR="003870A1" w:rsidRDefault="003870A1" w:rsidP="007773CE">
      <w:pPr>
        <w:spacing w:before="0" w:after="0" w:line="276" w:lineRule="auto"/>
        <w:contextualSpacing/>
        <w:jc w:val="both"/>
        <w:rPr>
          <w:rFonts w:eastAsia="Times New Roman"/>
          <w:bCs/>
          <w:i/>
          <w:iCs/>
          <w:color w:val="3C3C3C"/>
          <w:sz w:val="18"/>
          <w:szCs w:val="18"/>
        </w:rPr>
      </w:pPr>
    </w:p>
    <w:p w14:paraId="7C393AAC" w14:textId="3A8CD1DE" w:rsidR="003870A1" w:rsidRDefault="003870A1" w:rsidP="007773CE">
      <w:pPr>
        <w:spacing w:before="0" w:after="0" w:line="276" w:lineRule="auto"/>
        <w:contextualSpacing/>
        <w:jc w:val="both"/>
        <w:rPr>
          <w:rFonts w:eastAsia="Times New Roman"/>
          <w:bCs/>
          <w:i/>
          <w:iCs/>
          <w:color w:val="3C3C3C"/>
          <w:sz w:val="18"/>
          <w:szCs w:val="18"/>
        </w:rPr>
      </w:pPr>
    </w:p>
    <w:p w14:paraId="475C1561" w14:textId="32ACFB03" w:rsidR="003870A1" w:rsidRDefault="003870A1" w:rsidP="007773CE">
      <w:pPr>
        <w:spacing w:before="0" w:after="0" w:line="276" w:lineRule="auto"/>
        <w:contextualSpacing/>
        <w:jc w:val="both"/>
        <w:rPr>
          <w:rFonts w:eastAsia="Times New Roman"/>
          <w:bCs/>
          <w:i/>
          <w:iCs/>
          <w:color w:val="3C3C3C"/>
          <w:sz w:val="18"/>
          <w:szCs w:val="18"/>
        </w:rPr>
      </w:pPr>
    </w:p>
    <w:p w14:paraId="31267496" w14:textId="2B5377CF" w:rsidR="003870A1" w:rsidRDefault="003870A1" w:rsidP="007773CE">
      <w:pPr>
        <w:spacing w:before="0" w:after="0" w:line="276" w:lineRule="auto"/>
        <w:contextualSpacing/>
        <w:jc w:val="both"/>
        <w:rPr>
          <w:rFonts w:eastAsia="Times New Roman"/>
          <w:bCs/>
          <w:i/>
          <w:iCs/>
          <w:color w:val="3C3C3C"/>
          <w:sz w:val="18"/>
          <w:szCs w:val="18"/>
        </w:rPr>
      </w:pPr>
    </w:p>
    <w:p w14:paraId="3C280775" w14:textId="66B2E360" w:rsidR="003870A1" w:rsidRDefault="003870A1" w:rsidP="007773CE">
      <w:pPr>
        <w:spacing w:before="0" w:after="0" w:line="276" w:lineRule="auto"/>
        <w:contextualSpacing/>
        <w:jc w:val="both"/>
        <w:rPr>
          <w:rFonts w:eastAsia="Times New Roman"/>
          <w:bCs/>
          <w:i/>
          <w:iCs/>
          <w:color w:val="3C3C3C"/>
          <w:sz w:val="18"/>
          <w:szCs w:val="18"/>
        </w:rPr>
      </w:pPr>
    </w:p>
    <w:p w14:paraId="77C9CBD6" w14:textId="139DDB83" w:rsidR="003870A1" w:rsidRDefault="003870A1" w:rsidP="007773CE">
      <w:pPr>
        <w:spacing w:before="0" w:after="0" w:line="276" w:lineRule="auto"/>
        <w:contextualSpacing/>
        <w:jc w:val="both"/>
        <w:rPr>
          <w:rFonts w:eastAsia="Times New Roman"/>
          <w:bCs/>
          <w:i/>
          <w:iCs/>
          <w:color w:val="3C3C3C"/>
          <w:sz w:val="18"/>
          <w:szCs w:val="18"/>
        </w:rPr>
      </w:pPr>
    </w:p>
    <w:p w14:paraId="29FAF35A" w14:textId="1B569778" w:rsidR="003870A1" w:rsidRDefault="003870A1" w:rsidP="007773CE">
      <w:pPr>
        <w:spacing w:before="0" w:after="0" w:line="276" w:lineRule="auto"/>
        <w:contextualSpacing/>
        <w:jc w:val="both"/>
        <w:rPr>
          <w:rFonts w:eastAsia="Times New Roman"/>
          <w:bCs/>
          <w:i/>
          <w:iCs/>
          <w:color w:val="3C3C3C"/>
          <w:sz w:val="18"/>
          <w:szCs w:val="18"/>
        </w:rPr>
      </w:pPr>
    </w:p>
    <w:p w14:paraId="4C35E7FE" w14:textId="77777777" w:rsidR="00B012F1" w:rsidRDefault="00B012F1">
      <w:pPr>
        <w:spacing w:before="0" w:after="160"/>
        <w:rPr>
          <w:rFonts w:eastAsia="Times New Roman"/>
          <w:b/>
          <w:color w:val="3C3C3C"/>
          <w:sz w:val="18"/>
          <w:szCs w:val="18"/>
        </w:rPr>
      </w:pPr>
      <w:r>
        <w:rPr>
          <w:rFonts w:eastAsia="Times New Roman"/>
          <w:b/>
          <w:color w:val="3C3C3C"/>
          <w:sz w:val="18"/>
          <w:szCs w:val="18"/>
        </w:rPr>
        <w:br w:type="page"/>
      </w:r>
    </w:p>
    <w:p w14:paraId="42B6F6DA" w14:textId="6F708F49" w:rsidR="003870A1" w:rsidRPr="003870A1" w:rsidRDefault="003870A1" w:rsidP="003870A1">
      <w:pPr>
        <w:spacing w:before="0" w:after="0" w:line="276" w:lineRule="auto"/>
        <w:contextualSpacing/>
        <w:jc w:val="center"/>
        <w:rPr>
          <w:rFonts w:eastAsia="Times New Roman"/>
          <w:b/>
          <w:color w:val="3C3C3C"/>
          <w:sz w:val="18"/>
          <w:szCs w:val="18"/>
        </w:rPr>
      </w:pPr>
      <w:r w:rsidRPr="003870A1">
        <w:rPr>
          <w:rFonts w:eastAsia="Times New Roman"/>
          <w:b/>
          <w:color w:val="3C3C3C"/>
          <w:sz w:val="18"/>
          <w:szCs w:val="18"/>
        </w:rPr>
        <w:t>INSTALACION TIPO PARA SUMINISTRO EVENTUAL DE FIESTAS / EVENTOS POPULARES</w:t>
      </w:r>
    </w:p>
    <w:p w14:paraId="1B885AD2" w14:textId="5910E1CF" w:rsidR="00B12F0D" w:rsidRDefault="00B12F0D" w:rsidP="003A3E81"/>
    <w:p w14:paraId="36F2D574" w14:textId="3247E9E5" w:rsidR="00B12F0D" w:rsidRDefault="003870A1" w:rsidP="003870A1">
      <w:pPr>
        <w:jc w:val="center"/>
      </w:pPr>
      <w:r>
        <w:rPr>
          <w:noProof/>
        </w:rPr>
        <w:drawing>
          <wp:inline distT="0" distB="0" distL="0" distR="0" wp14:anchorId="5ED09CB2" wp14:editId="3CC8C66F">
            <wp:extent cx="7200000" cy="5083200"/>
            <wp:effectExtent l="0" t="8573" r="0" b="0"/>
            <wp:docPr id="1"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 Esquemátic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7200000" cy="5083200"/>
                    </a:xfrm>
                    <a:prstGeom prst="rect">
                      <a:avLst/>
                    </a:prstGeom>
                    <a:noFill/>
                    <a:ln>
                      <a:noFill/>
                    </a:ln>
                  </pic:spPr>
                </pic:pic>
              </a:graphicData>
            </a:graphic>
          </wp:inline>
        </w:drawing>
      </w:r>
    </w:p>
    <w:p w14:paraId="23DF92A9" w14:textId="26C028B6" w:rsidR="003870A1" w:rsidRDefault="003870A1" w:rsidP="00CC036B">
      <w:pPr>
        <w:tabs>
          <w:tab w:val="left" w:pos="3356"/>
        </w:tabs>
      </w:pPr>
    </w:p>
    <w:p w14:paraId="34E69932" w14:textId="3C4F5187" w:rsidR="003870A1" w:rsidRDefault="003870A1" w:rsidP="003870A1">
      <w:pPr>
        <w:tabs>
          <w:tab w:val="left" w:pos="3356"/>
        </w:tabs>
        <w:jc w:val="center"/>
        <w:rPr>
          <w:b/>
          <w:bCs/>
        </w:rPr>
      </w:pPr>
      <w:r w:rsidRPr="003870A1">
        <w:rPr>
          <w:b/>
          <w:bCs/>
        </w:rPr>
        <w:t>INSTALACIÓN TIPO ARCOS DE ILUMIINACIÓN</w:t>
      </w:r>
    </w:p>
    <w:p w14:paraId="49F78DA6" w14:textId="77777777" w:rsidR="003870A1" w:rsidRPr="003870A1" w:rsidRDefault="003870A1" w:rsidP="003870A1">
      <w:pPr>
        <w:tabs>
          <w:tab w:val="left" w:pos="3356"/>
        </w:tabs>
        <w:jc w:val="center"/>
        <w:rPr>
          <w:b/>
          <w:bCs/>
        </w:rPr>
      </w:pPr>
    </w:p>
    <w:p w14:paraId="657ADD7B" w14:textId="0133D3C1" w:rsidR="003870A1" w:rsidRPr="003870A1" w:rsidRDefault="003870A1" w:rsidP="003870A1">
      <w:r>
        <w:rPr>
          <w:noProof/>
        </w:rPr>
        <w:drawing>
          <wp:inline distT="0" distB="0" distL="0" distR="0" wp14:anchorId="289BD37D" wp14:editId="7D715E19">
            <wp:extent cx="7200000" cy="5083200"/>
            <wp:effectExtent l="0" t="8573" r="0" b="0"/>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7200000" cy="5083200"/>
                    </a:xfrm>
                    <a:prstGeom prst="rect">
                      <a:avLst/>
                    </a:prstGeom>
                    <a:noFill/>
                    <a:ln>
                      <a:noFill/>
                    </a:ln>
                  </pic:spPr>
                </pic:pic>
              </a:graphicData>
            </a:graphic>
          </wp:inline>
        </w:drawing>
      </w:r>
    </w:p>
    <w:sectPr w:rsidR="003870A1" w:rsidRPr="003870A1" w:rsidSect="00CC036B">
      <w:headerReference w:type="even" r:id="rId10"/>
      <w:headerReference w:type="default" r:id="rId11"/>
      <w:headerReference w:type="first" r:id="rId12"/>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95CD" w14:textId="77777777" w:rsidR="00A52F41" w:rsidRDefault="00A52F41" w:rsidP="00B12F0D">
      <w:pPr>
        <w:spacing w:before="0" w:after="0" w:line="240" w:lineRule="auto"/>
      </w:pPr>
      <w:r>
        <w:separator/>
      </w:r>
    </w:p>
  </w:endnote>
  <w:endnote w:type="continuationSeparator" w:id="0">
    <w:p w14:paraId="6C93F2C2" w14:textId="77777777" w:rsidR="00A52F41" w:rsidRDefault="00A52F41" w:rsidP="00B12F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3E06" w14:textId="77777777" w:rsidR="00A52F41" w:rsidRDefault="00A52F41" w:rsidP="00B12F0D">
      <w:pPr>
        <w:spacing w:before="0" w:after="0" w:line="240" w:lineRule="auto"/>
      </w:pPr>
      <w:r>
        <w:separator/>
      </w:r>
    </w:p>
  </w:footnote>
  <w:footnote w:type="continuationSeparator" w:id="0">
    <w:p w14:paraId="7028103A" w14:textId="77777777" w:rsidR="00A52F41" w:rsidRDefault="00A52F41" w:rsidP="00B12F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D6BC" w14:textId="36F46F97" w:rsidR="00B12F0D" w:rsidRDefault="00000000">
    <w:pPr>
      <w:pStyle w:val="Encabezado"/>
    </w:pPr>
    <w:r>
      <w:rPr>
        <w:noProof/>
      </w:rPr>
      <w:pict w14:anchorId="5A69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35438" o:spid="_x0000_s1041" type="#_x0000_t75" style="position:absolute;margin-left:0;margin-top:0;width:607.4pt;height:853.85pt;z-index:-251657216;mso-position-horizontal:center;mso-position-horizontal-relative:margin;mso-position-vertical:center;mso-position-vertical-relative:margin" o:allowincell="f">
          <v:imagedata r:id="rId1" o:title="A4 PNG 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3A0B" w14:textId="2510F95A" w:rsidR="00B12F0D" w:rsidRDefault="00000000">
    <w:pPr>
      <w:pStyle w:val="Encabezado"/>
    </w:pPr>
    <w:r>
      <w:rPr>
        <w:noProof/>
      </w:rPr>
      <w:pict w14:anchorId="173AA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35439" o:spid="_x0000_s1042" type="#_x0000_t75" style="position:absolute;margin-left:0;margin-top:0;width:607.4pt;height:853.3pt;z-index:-251656192;mso-position-horizontal:center;mso-position-horizontal-relative:page;mso-position-vertical:center;mso-position-vertical-relative:page" o:allowincell="f">
          <v:imagedata r:id="rId1" o:title="A4 PNG 4" croptop="631f" cropbottom="-587f"/>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1B21" w14:textId="4AA92E9D" w:rsidR="00B12F0D" w:rsidRDefault="00000000">
    <w:pPr>
      <w:pStyle w:val="Encabezado"/>
    </w:pPr>
    <w:r>
      <w:rPr>
        <w:noProof/>
      </w:rPr>
      <w:pict w14:anchorId="576E2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35437" o:spid="_x0000_s1040" type="#_x0000_t75" style="position:absolute;margin-left:0;margin-top:0;width:607.4pt;height:853.85pt;z-index:-251658240;mso-position-horizontal:center;mso-position-horizontal-relative:margin;mso-position-vertical:center;mso-position-vertical-relative:margin" o:allowincell="f">
          <v:imagedata r:id="rId1" o:title="A4 PNG 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31709"/>
    <w:multiLevelType w:val="hybridMultilevel"/>
    <w:tmpl w:val="FFFFFFFF"/>
    <w:lvl w:ilvl="0" w:tplc="33187E86">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71F2213"/>
    <w:multiLevelType w:val="hybridMultilevel"/>
    <w:tmpl w:val="FA56599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68881766">
    <w:abstractNumId w:val="1"/>
  </w:num>
  <w:num w:numId="2" w16cid:durableId="192001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style="mso-position-horizontal-relative:margin;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0D"/>
    <w:rsid w:val="000225B7"/>
    <w:rsid w:val="00026530"/>
    <w:rsid w:val="000A2993"/>
    <w:rsid w:val="00137E2F"/>
    <w:rsid w:val="001B239B"/>
    <w:rsid w:val="00224DF1"/>
    <w:rsid w:val="00230298"/>
    <w:rsid w:val="0024770F"/>
    <w:rsid w:val="002E09E6"/>
    <w:rsid w:val="002E618E"/>
    <w:rsid w:val="0033293E"/>
    <w:rsid w:val="0034321D"/>
    <w:rsid w:val="003870A1"/>
    <w:rsid w:val="003A3E81"/>
    <w:rsid w:val="00401185"/>
    <w:rsid w:val="00447090"/>
    <w:rsid w:val="0045195B"/>
    <w:rsid w:val="004B5502"/>
    <w:rsid w:val="007330D6"/>
    <w:rsid w:val="00737214"/>
    <w:rsid w:val="007773CE"/>
    <w:rsid w:val="00810107"/>
    <w:rsid w:val="008A40E2"/>
    <w:rsid w:val="0092344E"/>
    <w:rsid w:val="00935EB9"/>
    <w:rsid w:val="009954EA"/>
    <w:rsid w:val="009964E7"/>
    <w:rsid w:val="00A52093"/>
    <w:rsid w:val="00A52F41"/>
    <w:rsid w:val="00AA0852"/>
    <w:rsid w:val="00B012F1"/>
    <w:rsid w:val="00B12F0D"/>
    <w:rsid w:val="00B34B7B"/>
    <w:rsid w:val="00B96AEB"/>
    <w:rsid w:val="00C10474"/>
    <w:rsid w:val="00CA4EF7"/>
    <w:rsid w:val="00CC036B"/>
    <w:rsid w:val="00D23EE9"/>
    <w:rsid w:val="00D35B99"/>
    <w:rsid w:val="00E13BD1"/>
    <w:rsid w:val="00E62B88"/>
    <w:rsid w:val="00EC57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4DEABEE1"/>
  <w15:chartTrackingRefBased/>
  <w15:docId w15:val="{5CA1EF82-6D13-46E4-8B02-C688D192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b/>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o 10"/>
    <w:qFormat/>
    <w:rsid w:val="00810107"/>
    <w:pPr>
      <w:spacing w:before="240" w:after="240"/>
    </w:pPr>
    <w:rPr>
      <w:b w:val="0"/>
      <w:sz w:val="20"/>
    </w:rPr>
  </w:style>
  <w:style w:type="paragraph" w:styleId="Ttulo1">
    <w:name w:val="heading 1"/>
    <w:aliases w:val="TITULO 1"/>
    <w:basedOn w:val="Normal"/>
    <w:next w:val="Normal"/>
    <w:link w:val="Ttulo1Car"/>
    <w:uiPriority w:val="9"/>
    <w:qFormat/>
    <w:rsid w:val="00CC036B"/>
    <w:pPr>
      <w:keepNext/>
      <w:keepLines/>
      <w:spacing w:before="120" w:after="120"/>
      <w:jc w:val="center"/>
      <w:outlineLvl w:val="0"/>
    </w:pPr>
    <w:rPr>
      <w:rFonts w:eastAsiaTheme="majorEastAsia" w:cstheme="majorBidi"/>
      <w:b/>
      <w:color w:val="000000" w:themeColor="text1"/>
      <w:sz w:val="28"/>
      <w:szCs w:val="32"/>
    </w:rPr>
  </w:style>
  <w:style w:type="paragraph" w:styleId="Ttulo2">
    <w:name w:val="heading 2"/>
    <w:aliases w:val="TITULO 2"/>
    <w:basedOn w:val="Ttulo1"/>
    <w:next w:val="Normal"/>
    <w:link w:val="Ttulo2Car"/>
    <w:uiPriority w:val="9"/>
    <w:unhideWhenUsed/>
    <w:qFormat/>
    <w:rsid w:val="00EC57AC"/>
    <w:pPr>
      <w:outlineLvl w:val="1"/>
    </w:pPr>
    <w:rPr>
      <w:color w:val="D60B3B"/>
    </w:rPr>
  </w:style>
  <w:style w:type="paragraph" w:styleId="Ttulo3">
    <w:name w:val="heading 3"/>
    <w:aliases w:val="TITULO 3"/>
    <w:basedOn w:val="Ttulo2"/>
    <w:next w:val="Normal"/>
    <w:link w:val="Ttulo3Car"/>
    <w:uiPriority w:val="9"/>
    <w:unhideWhenUsed/>
    <w:qFormat/>
    <w:rsid w:val="00EC57AC"/>
    <w:pPr>
      <w:outlineLvl w:val="2"/>
    </w:pPr>
    <w:rPr>
      <w:color w:val="3D642D"/>
    </w:rPr>
  </w:style>
  <w:style w:type="paragraph" w:styleId="Ttulo4">
    <w:name w:val="heading 4"/>
    <w:basedOn w:val="Normal"/>
    <w:next w:val="Normal"/>
    <w:link w:val="Ttulo4Car"/>
    <w:uiPriority w:val="9"/>
    <w:unhideWhenUsed/>
    <w:rsid w:val="007372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
    <w:basedOn w:val="Fuentedeprrafopredeter"/>
    <w:link w:val="Ttulo1"/>
    <w:uiPriority w:val="9"/>
    <w:rsid w:val="00CC036B"/>
    <w:rPr>
      <w:rFonts w:eastAsiaTheme="majorEastAsia" w:cstheme="majorBidi"/>
      <w:color w:val="000000" w:themeColor="text1"/>
      <w:sz w:val="28"/>
      <w:szCs w:val="32"/>
    </w:rPr>
  </w:style>
  <w:style w:type="character" w:customStyle="1" w:styleId="Ttulo2Car">
    <w:name w:val="Título 2 Car"/>
    <w:aliases w:val="TITULO 2 Car"/>
    <w:basedOn w:val="Fuentedeprrafopredeter"/>
    <w:link w:val="Ttulo2"/>
    <w:uiPriority w:val="9"/>
    <w:rsid w:val="00EC57AC"/>
    <w:rPr>
      <w:rFonts w:eastAsiaTheme="majorEastAsia" w:cstheme="majorBidi"/>
      <w:color w:val="D60B3B"/>
      <w:sz w:val="28"/>
      <w:szCs w:val="32"/>
    </w:rPr>
  </w:style>
  <w:style w:type="character" w:customStyle="1" w:styleId="Ttulo3Car">
    <w:name w:val="Título 3 Car"/>
    <w:aliases w:val="TITULO 3 Car"/>
    <w:basedOn w:val="Fuentedeprrafopredeter"/>
    <w:link w:val="Ttulo3"/>
    <w:uiPriority w:val="9"/>
    <w:rsid w:val="00EC57AC"/>
    <w:rPr>
      <w:rFonts w:eastAsiaTheme="majorEastAsia" w:cstheme="majorBidi"/>
      <w:color w:val="3D642D"/>
      <w:sz w:val="28"/>
      <w:szCs w:val="32"/>
    </w:rPr>
  </w:style>
  <w:style w:type="paragraph" w:styleId="Encabezado">
    <w:name w:val="header"/>
    <w:basedOn w:val="Normal"/>
    <w:link w:val="EncabezadoCar"/>
    <w:uiPriority w:val="99"/>
    <w:unhideWhenUsed/>
    <w:rsid w:val="00B12F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2F0D"/>
    <w:rPr>
      <w:b w:val="0"/>
    </w:rPr>
  </w:style>
  <w:style w:type="paragraph" w:styleId="Piedepgina">
    <w:name w:val="footer"/>
    <w:basedOn w:val="Normal"/>
    <w:link w:val="PiedepginaCar"/>
    <w:uiPriority w:val="99"/>
    <w:unhideWhenUsed/>
    <w:rsid w:val="00B12F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2F0D"/>
    <w:rPr>
      <w:b w:val="0"/>
    </w:rPr>
  </w:style>
  <w:style w:type="character" w:styleId="Ttulodellibro">
    <w:name w:val="Book Title"/>
    <w:basedOn w:val="Fuentedeprrafopredeter"/>
    <w:uiPriority w:val="33"/>
    <w:rsid w:val="00737214"/>
    <w:rPr>
      <w:b w:val="0"/>
      <w:bCs/>
      <w:i/>
      <w:iCs/>
      <w:spacing w:val="5"/>
    </w:rPr>
  </w:style>
  <w:style w:type="paragraph" w:styleId="Sinespaciado">
    <w:name w:val="No Spacing"/>
    <w:uiPriority w:val="1"/>
    <w:qFormat/>
    <w:rsid w:val="00737214"/>
    <w:pPr>
      <w:spacing w:after="0" w:line="240" w:lineRule="auto"/>
    </w:pPr>
    <w:rPr>
      <w:b w:val="0"/>
    </w:rPr>
  </w:style>
  <w:style w:type="paragraph" w:styleId="Subttulo">
    <w:name w:val="Subtitle"/>
    <w:basedOn w:val="Normal"/>
    <w:next w:val="Normal"/>
    <w:link w:val="SubttuloCar"/>
    <w:uiPriority w:val="11"/>
    <w:qFormat/>
    <w:rsid w:val="00737214"/>
    <w:pPr>
      <w:numPr>
        <w:ilvl w:val="1"/>
      </w:numPr>
      <w:spacing w:before="120" w:after="120"/>
      <w:ind w:left="708"/>
    </w:pPr>
    <w:rPr>
      <w:rFonts w:eastAsiaTheme="minorEastAsia" w:cstheme="minorBidi"/>
      <w:b/>
      <w:color w:val="000000" w:themeColor="text1"/>
      <w:spacing w:val="15"/>
      <w:sz w:val="24"/>
      <w:u w:val="single"/>
    </w:rPr>
  </w:style>
  <w:style w:type="character" w:customStyle="1" w:styleId="SubttuloCar">
    <w:name w:val="Subtítulo Car"/>
    <w:basedOn w:val="Fuentedeprrafopredeter"/>
    <w:link w:val="Subttulo"/>
    <w:uiPriority w:val="11"/>
    <w:rsid w:val="00737214"/>
    <w:rPr>
      <w:rFonts w:eastAsiaTheme="minorEastAsia" w:cstheme="minorBidi"/>
      <w:color w:val="000000" w:themeColor="text1"/>
      <w:spacing w:val="15"/>
      <w:sz w:val="24"/>
      <w:u w:val="single"/>
    </w:rPr>
  </w:style>
  <w:style w:type="paragraph" w:styleId="Ttulo">
    <w:name w:val="Title"/>
    <w:basedOn w:val="Normal"/>
    <w:next w:val="Normal"/>
    <w:link w:val="TtuloCar"/>
    <w:uiPriority w:val="10"/>
    <w:rsid w:val="0073721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7214"/>
    <w:rPr>
      <w:rFonts w:asciiTheme="majorHAnsi" w:eastAsiaTheme="majorEastAsia" w:hAnsiTheme="majorHAnsi" w:cstheme="majorBidi"/>
      <w:b w:val="0"/>
      <w:spacing w:val="-10"/>
      <w:kern w:val="28"/>
      <w:sz w:val="56"/>
      <w:szCs w:val="56"/>
    </w:rPr>
  </w:style>
  <w:style w:type="paragraph" w:customStyle="1" w:styleId="SUBTITULO2">
    <w:name w:val="SUBTITULO 2"/>
    <w:basedOn w:val="Normal"/>
    <w:link w:val="SUBTITULO2Car"/>
    <w:rsid w:val="00737214"/>
  </w:style>
  <w:style w:type="character" w:customStyle="1" w:styleId="Ttulo4Car">
    <w:name w:val="Título 4 Car"/>
    <w:basedOn w:val="Fuentedeprrafopredeter"/>
    <w:link w:val="Ttulo4"/>
    <w:uiPriority w:val="9"/>
    <w:rsid w:val="00737214"/>
    <w:rPr>
      <w:rFonts w:asciiTheme="majorHAnsi" w:eastAsiaTheme="majorEastAsia" w:hAnsiTheme="majorHAnsi" w:cstheme="majorBidi"/>
      <w:b w:val="0"/>
      <w:i/>
      <w:iCs/>
      <w:color w:val="2F5496" w:themeColor="accent1" w:themeShade="BF"/>
    </w:rPr>
  </w:style>
  <w:style w:type="character" w:customStyle="1" w:styleId="SUBTITULO2Car">
    <w:name w:val="SUBTITULO 2 Car"/>
    <w:basedOn w:val="Fuentedeprrafopredeter"/>
    <w:link w:val="SUBTITULO2"/>
    <w:rsid w:val="00737214"/>
    <w:rPr>
      <w:b w:val="0"/>
    </w:rPr>
  </w:style>
  <w:style w:type="paragraph" w:styleId="TtuloTDC">
    <w:name w:val="TOC Heading"/>
    <w:basedOn w:val="Ttulo1"/>
    <w:next w:val="Normal"/>
    <w:uiPriority w:val="39"/>
    <w:unhideWhenUsed/>
    <w:rsid w:val="00EC57AC"/>
    <w:pPr>
      <w:spacing w:before="240" w:after="0"/>
      <w:jc w:val="left"/>
      <w:outlineLvl w:val="9"/>
    </w:pPr>
    <w:rPr>
      <w:rFonts w:asciiTheme="majorHAnsi" w:hAnsiTheme="majorHAnsi"/>
      <w:b w:val="0"/>
      <w:bCs/>
      <w:color w:val="2F5496" w:themeColor="accent1" w:themeShade="BF"/>
      <w:sz w:val="32"/>
      <w:lang w:eastAsia="es-ES"/>
    </w:rPr>
  </w:style>
  <w:style w:type="paragraph" w:styleId="TDC1">
    <w:name w:val="toc 1"/>
    <w:basedOn w:val="Normal"/>
    <w:next w:val="Normal"/>
    <w:autoRedefine/>
    <w:uiPriority w:val="39"/>
    <w:unhideWhenUsed/>
    <w:rsid w:val="00EC57AC"/>
    <w:pPr>
      <w:spacing w:after="100"/>
    </w:pPr>
  </w:style>
  <w:style w:type="paragraph" w:styleId="TDC2">
    <w:name w:val="toc 2"/>
    <w:basedOn w:val="Normal"/>
    <w:next w:val="Normal"/>
    <w:autoRedefine/>
    <w:uiPriority w:val="39"/>
    <w:unhideWhenUsed/>
    <w:rsid w:val="00EC57AC"/>
    <w:pPr>
      <w:spacing w:after="100"/>
      <w:ind w:left="220"/>
    </w:pPr>
  </w:style>
  <w:style w:type="paragraph" w:styleId="TDC3">
    <w:name w:val="toc 3"/>
    <w:basedOn w:val="Normal"/>
    <w:next w:val="Normal"/>
    <w:autoRedefine/>
    <w:uiPriority w:val="39"/>
    <w:unhideWhenUsed/>
    <w:rsid w:val="00EC57AC"/>
    <w:pPr>
      <w:spacing w:after="100"/>
      <w:ind w:left="440"/>
    </w:pPr>
  </w:style>
  <w:style w:type="character" w:styleId="Hipervnculo">
    <w:name w:val="Hyperlink"/>
    <w:basedOn w:val="Fuentedeprrafopredeter"/>
    <w:uiPriority w:val="99"/>
    <w:unhideWhenUsed/>
    <w:rsid w:val="00EC57AC"/>
    <w:rPr>
      <w:color w:val="0563C1" w:themeColor="hyperlink"/>
      <w:u w:val="single"/>
    </w:rPr>
  </w:style>
  <w:style w:type="paragraph" w:customStyle="1" w:styleId="Subtitulo20">
    <w:name w:val="Subtitulo 2"/>
    <w:basedOn w:val="Subttulo"/>
    <w:link w:val="Subtitulo2Car0"/>
    <w:rsid w:val="0092344E"/>
  </w:style>
  <w:style w:type="paragraph" w:styleId="Prrafodelista">
    <w:name w:val="List Paragraph"/>
    <w:basedOn w:val="Normal"/>
    <w:uiPriority w:val="34"/>
    <w:rsid w:val="0092344E"/>
    <w:pPr>
      <w:ind w:left="720"/>
      <w:contextualSpacing/>
    </w:pPr>
  </w:style>
  <w:style w:type="character" w:customStyle="1" w:styleId="Subtitulo2Car0">
    <w:name w:val="Subtitulo 2 Car"/>
    <w:basedOn w:val="SubttuloCar"/>
    <w:link w:val="Subtitulo20"/>
    <w:rsid w:val="0092344E"/>
    <w:rPr>
      <w:rFonts w:eastAsiaTheme="minorEastAsia" w:cstheme="minorBidi"/>
      <w:color w:val="000000" w:themeColor="text1"/>
      <w:spacing w:val="15"/>
      <w:sz w:val="24"/>
      <w:u w:val="single"/>
    </w:rPr>
  </w:style>
  <w:style w:type="paragraph" w:customStyle="1" w:styleId="Texto11">
    <w:name w:val="Texto 11"/>
    <w:basedOn w:val="Normal"/>
    <w:link w:val="Texto11Car"/>
    <w:qFormat/>
    <w:rsid w:val="00810107"/>
    <w:rPr>
      <w:sz w:val="22"/>
    </w:rPr>
  </w:style>
  <w:style w:type="character" w:customStyle="1" w:styleId="Texto11Car">
    <w:name w:val="Texto 11 Car"/>
    <w:basedOn w:val="Fuentedeprrafopredeter"/>
    <w:link w:val="Texto11"/>
    <w:rsid w:val="00810107"/>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D71B0-183A-479D-9DF2-F85A7AB5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821</Words>
  <Characters>4517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Ramos Viñas</dc:creator>
  <cp:keywords/>
  <dc:description/>
  <cp:lastModifiedBy>Miguel Feal Rodríguez</cp:lastModifiedBy>
  <cp:revision>4</cp:revision>
  <cp:lastPrinted>2023-02-24T11:29:00Z</cp:lastPrinted>
  <dcterms:created xsi:type="dcterms:W3CDTF">2023-03-20T16:07:00Z</dcterms:created>
  <dcterms:modified xsi:type="dcterms:W3CDTF">2023-03-30T13:21:00Z</dcterms:modified>
</cp:coreProperties>
</file>